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6515"/>
      </w:tblGrid>
      <w:tr w:rsidR="003254FE" w:rsidRPr="00204923" w14:paraId="305485C7" w14:textId="77777777" w:rsidTr="00524BCA">
        <w:trPr>
          <w:trHeight w:val="432"/>
        </w:trPr>
        <w:tc>
          <w:tcPr>
            <w:tcW w:w="2880" w:type="dxa"/>
            <w:tcBorders>
              <w:top w:val="nil"/>
              <w:left w:val="nil"/>
              <w:bottom w:val="nil"/>
              <w:right w:val="nil"/>
            </w:tcBorders>
            <w:shd w:val="clear" w:color="auto" w:fill="auto"/>
            <w:vAlign w:val="center"/>
          </w:tcPr>
          <w:p w14:paraId="7FB016A3" w14:textId="77777777" w:rsidR="003254FE" w:rsidRPr="00204923" w:rsidRDefault="003254FE" w:rsidP="000774BA">
            <w:pPr>
              <w:spacing w:after="0"/>
              <w:rPr>
                <w:rFonts w:cs="Calibri"/>
                <w:b/>
              </w:rPr>
            </w:pPr>
            <w:r w:rsidRPr="00204923">
              <w:rPr>
                <w:rFonts w:cs="Calibri"/>
                <w:b/>
              </w:rPr>
              <w:t>Procedure:</w:t>
            </w:r>
          </w:p>
        </w:tc>
        <w:tc>
          <w:tcPr>
            <w:tcW w:w="6624" w:type="dxa"/>
            <w:tcBorders>
              <w:top w:val="nil"/>
              <w:left w:val="nil"/>
              <w:bottom w:val="nil"/>
              <w:right w:val="nil"/>
            </w:tcBorders>
            <w:shd w:val="clear" w:color="auto" w:fill="auto"/>
            <w:vAlign w:val="center"/>
          </w:tcPr>
          <w:p w14:paraId="21616460" w14:textId="04FE21D7" w:rsidR="003254FE" w:rsidRPr="00204923" w:rsidRDefault="000334D9" w:rsidP="000774BA">
            <w:pPr>
              <w:spacing w:after="0"/>
              <w:rPr>
                <w:rFonts w:cs="Calibri"/>
                <w:b/>
              </w:rPr>
            </w:pPr>
            <w:r>
              <w:rPr>
                <w:rFonts w:cs="Calibri"/>
                <w:b/>
              </w:rPr>
              <w:t>Catastrophic Weather Committee</w:t>
            </w:r>
          </w:p>
        </w:tc>
      </w:tr>
      <w:tr w:rsidR="003254FE" w:rsidRPr="00204923" w14:paraId="52324992" w14:textId="77777777" w:rsidTr="00524BCA">
        <w:trPr>
          <w:trHeight w:val="432"/>
        </w:trPr>
        <w:tc>
          <w:tcPr>
            <w:tcW w:w="2880" w:type="dxa"/>
            <w:tcBorders>
              <w:top w:val="nil"/>
              <w:left w:val="nil"/>
              <w:bottom w:val="nil"/>
              <w:right w:val="nil"/>
            </w:tcBorders>
            <w:shd w:val="clear" w:color="auto" w:fill="auto"/>
            <w:vAlign w:val="center"/>
          </w:tcPr>
          <w:p w14:paraId="359CE109" w14:textId="77777777" w:rsidR="003254FE" w:rsidRPr="00204923" w:rsidRDefault="003254FE" w:rsidP="000774BA">
            <w:pPr>
              <w:spacing w:after="0"/>
              <w:rPr>
                <w:rFonts w:cs="Calibri"/>
                <w:b/>
              </w:rPr>
            </w:pPr>
            <w:r w:rsidRPr="00204923">
              <w:rPr>
                <w:rFonts w:cs="Calibri"/>
                <w:b/>
              </w:rPr>
              <w:t>Number:</w:t>
            </w:r>
          </w:p>
        </w:tc>
        <w:tc>
          <w:tcPr>
            <w:tcW w:w="6624" w:type="dxa"/>
            <w:tcBorders>
              <w:top w:val="nil"/>
              <w:left w:val="nil"/>
              <w:bottom w:val="nil"/>
              <w:right w:val="nil"/>
            </w:tcBorders>
            <w:shd w:val="clear" w:color="auto" w:fill="auto"/>
            <w:vAlign w:val="center"/>
          </w:tcPr>
          <w:p w14:paraId="5E71E385" w14:textId="1EF015C5" w:rsidR="003254FE" w:rsidRPr="00CC3254" w:rsidRDefault="003254FE" w:rsidP="0099586D">
            <w:pPr>
              <w:spacing w:after="0"/>
              <w:rPr>
                <w:rFonts w:cs="Calibri"/>
                <w:color w:val="FF0000"/>
              </w:rPr>
            </w:pPr>
            <w:r>
              <w:rPr>
                <w:rFonts w:cs="Calibri"/>
              </w:rPr>
              <w:t>SOP-</w:t>
            </w:r>
            <w:r w:rsidR="000334D9">
              <w:rPr>
                <w:rFonts w:cs="Calibri"/>
              </w:rPr>
              <w:t>309</w:t>
            </w:r>
          </w:p>
        </w:tc>
      </w:tr>
      <w:tr w:rsidR="003254FE" w:rsidRPr="00204923" w14:paraId="6AE74390" w14:textId="77777777" w:rsidTr="00524BCA">
        <w:trPr>
          <w:trHeight w:val="432"/>
        </w:trPr>
        <w:tc>
          <w:tcPr>
            <w:tcW w:w="2880" w:type="dxa"/>
            <w:tcBorders>
              <w:top w:val="nil"/>
              <w:left w:val="nil"/>
              <w:bottom w:val="nil"/>
              <w:right w:val="nil"/>
            </w:tcBorders>
            <w:shd w:val="clear" w:color="auto" w:fill="auto"/>
          </w:tcPr>
          <w:p w14:paraId="6E3D4139" w14:textId="77777777" w:rsidR="003254FE" w:rsidRPr="00204923" w:rsidRDefault="003254FE" w:rsidP="000774BA">
            <w:pPr>
              <w:spacing w:after="0"/>
              <w:rPr>
                <w:rFonts w:cs="Calibri"/>
                <w:b/>
              </w:rPr>
            </w:pPr>
            <w:r w:rsidRPr="00204923">
              <w:rPr>
                <w:rFonts w:cs="Calibri"/>
                <w:b/>
              </w:rPr>
              <w:t>Authority:</w:t>
            </w:r>
          </w:p>
        </w:tc>
        <w:tc>
          <w:tcPr>
            <w:tcW w:w="6624" w:type="dxa"/>
            <w:tcBorders>
              <w:top w:val="nil"/>
              <w:left w:val="nil"/>
              <w:bottom w:val="nil"/>
              <w:right w:val="nil"/>
            </w:tcBorders>
            <w:shd w:val="clear" w:color="auto" w:fill="auto"/>
            <w:vAlign w:val="center"/>
          </w:tcPr>
          <w:p w14:paraId="3EFC2A15" w14:textId="6F8536C7" w:rsidR="003254FE" w:rsidRPr="00204923" w:rsidRDefault="00F044B4" w:rsidP="000774BA">
            <w:pPr>
              <w:spacing w:after="0"/>
              <w:jc w:val="both"/>
              <w:rPr>
                <w:rFonts w:cs="Calibri"/>
              </w:rPr>
            </w:pPr>
            <w:r w:rsidRPr="00681B69">
              <w:rPr>
                <w:rFonts w:cs="Calibri"/>
              </w:rPr>
              <w:t>SSCA Constitution, Article XI:  Authorization of By-Laws; SSCA By-Laws Section</w:t>
            </w:r>
            <w:r>
              <w:rPr>
                <w:rFonts w:cs="Calibri"/>
              </w:rPr>
              <w:t xml:space="preserve"> XIV Committees</w:t>
            </w:r>
          </w:p>
        </w:tc>
      </w:tr>
      <w:tr w:rsidR="003254FE" w:rsidRPr="001044CB" w14:paraId="0A1DC85E" w14:textId="77777777" w:rsidTr="00524BCA">
        <w:trPr>
          <w:trHeight w:val="432"/>
        </w:trPr>
        <w:tc>
          <w:tcPr>
            <w:tcW w:w="2880" w:type="dxa"/>
            <w:tcBorders>
              <w:top w:val="nil"/>
              <w:left w:val="nil"/>
              <w:bottom w:val="nil"/>
              <w:right w:val="nil"/>
            </w:tcBorders>
            <w:shd w:val="clear" w:color="auto" w:fill="auto"/>
            <w:vAlign w:val="center"/>
          </w:tcPr>
          <w:p w14:paraId="4517E6A5" w14:textId="77777777" w:rsidR="003254FE" w:rsidRPr="00204923" w:rsidRDefault="003254FE" w:rsidP="000774BA">
            <w:pPr>
              <w:spacing w:after="0"/>
              <w:rPr>
                <w:rFonts w:cs="Calibri"/>
                <w:b/>
              </w:rPr>
            </w:pPr>
            <w:r w:rsidRPr="00204923">
              <w:rPr>
                <w:rFonts w:cs="Calibri"/>
                <w:b/>
              </w:rPr>
              <w:t>Reference:</w:t>
            </w:r>
          </w:p>
        </w:tc>
        <w:tc>
          <w:tcPr>
            <w:tcW w:w="6624" w:type="dxa"/>
            <w:tcBorders>
              <w:top w:val="nil"/>
              <w:left w:val="nil"/>
              <w:bottom w:val="nil"/>
              <w:right w:val="nil"/>
            </w:tcBorders>
            <w:shd w:val="clear" w:color="auto" w:fill="auto"/>
            <w:vAlign w:val="center"/>
          </w:tcPr>
          <w:p w14:paraId="40F8212E" w14:textId="77777777" w:rsidR="003254FE" w:rsidRPr="001044CB" w:rsidRDefault="00F044B4" w:rsidP="000774BA">
            <w:pPr>
              <w:tabs>
                <w:tab w:val="left" w:pos="-1440"/>
              </w:tabs>
              <w:spacing w:after="0"/>
              <w:ind w:left="-18" w:firstLine="18"/>
              <w:jc w:val="both"/>
              <w:rPr>
                <w:rFonts w:cs="Calibri"/>
              </w:rPr>
            </w:pPr>
            <w:r>
              <w:rPr>
                <w:rFonts w:cs="Calibri"/>
              </w:rPr>
              <w:t>SSCA By-Laws Section XIV Committees</w:t>
            </w:r>
          </w:p>
        </w:tc>
      </w:tr>
      <w:tr w:rsidR="003254FE" w:rsidRPr="00204923" w14:paraId="2878A007" w14:textId="77777777" w:rsidTr="00524BCA">
        <w:trPr>
          <w:trHeight w:val="432"/>
        </w:trPr>
        <w:tc>
          <w:tcPr>
            <w:tcW w:w="2880" w:type="dxa"/>
            <w:tcBorders>
              <w:top w:val="nil"/>
              <w:left w:val="nil"/>
              <w:bottom w:val="nil"/>
              <w:right w:val="nil"/>
            </w:tcBorders>
            <w:shd w:val="clear" w:color="auto" w:fill="auto"/>
            <w:vAlign w:val="center"/>
          </w:tcPr>
          <w:p w14:paraId="339C6BC8" w14:textId="77777777" w:rsidR="003254FE" w:rsidRPr="00204923" w:rsidRDefault="003254FE" w:rsidP="000774BA">
            <w:pPr>
              <w:spacing w:after="0"/>
              <w:rPr>
                <w:rFonts w:cs="Calibri"/>
                <w:b/>
              </w:rPr>
            </w:pPr>
            <w:r w:rsidRPr="00204923">
              <w:rPr>
                <w:rFonts w:cs="Calibri"/>
                <w:b/>
              </w:rPr>
              <w:t>Effective Date:</w:t>
            </w:r>
          </w:p>
        </w:tc>
        <w:tc>
          <w:tcPr>
            <w:tcW w:w="6624" w:type="dxa"/>
            <w:tcBorders>
              <w:top w:val="nil"/>
              <w:left w:val="nil"/>
              <w:bottom w:val="nil"/>
              <w:right w:val="nil"/>
            </w:tcBorders>
            <w:shd w:val="clear" w:color="auto" w:fill="auto"/>
            <w:vAlign w:val="center"/>
          </w:tcPr>
          <w:p w14:paraId="12DFA2E3" w14:textId="3C878EFA" w:rsidR="003254FE" w:rsidRPr="00204923" w:rsidRDefault="00BB44F3" w:rsidP="000774BA">
            <w:pPr>
              <w:spacing w:after="0"/>
              <w:rPr>
                <w:rFonts w:cs="Calibri"/>
              </w:rPr>
            </w:pPr>
            <w:r>
              <w:rPr>
                <w:rFonts w:cs="Calibri"/>
              </w:rPr>
              <w:t xml:space="preserve">July </w:t>
            </w:r>
            <w:r w:rsidR="00C60735">
              <w:rPr>
                <w:rFonts w:cs="Calibri"/>
              </w:rPr>
              <w:t>21, 2021</w:t>
            </w:r>
          </w:p>
        </w:tc>
      </w:tr>
      <w:tr w:rsidR="003254FE" w:rsidRPr="00204923" w14:paraId="543A436D" w14:textId="77777777" w:rsidTr="00524BCA">
        <w:trPr>
          <w:trHeight w:val="432"/>
        </w:trPr>
        <w:tc>
          <w:tcPr>
            <w:tcW w:w="2880" w:type="dxa"/>
            <w:tcBorders>
              <w:top w:val="nil"/>
              <w:left w:val="nil"/>
              <w:bottom w:val="nil"/>
              <w:right w:val="nil"/>
            </w:tcBorders>
            <w:shd w:val="clear" w:color="auto" w:fill="auto"/>
            <w:vAlign w:val="center"/>
          </w:tcPr>
          <w:p w14:paraId="36A003E9" w14:textId="77777777" w:rsidR="003254FE" w:rsidRPr="00204923" w:rsidRDefault="003254FE" w:rsidP="000774BA">
            <w:pPr>
              <w:spacing w:after="0"/>
              <w:rPr>
                <w:rFonts w:cs="Calibri"/>
                <w:b/>
              </w:rPr>
            </w:pPr>
            <w:r w:rsidRPr="00204923">
              <w:rPr>
                <w:rFonts w:cs="Calibri"/>
                <w:b/>
              </w:rPr>
              <w:t>Revises Previous Date:</w:t>
            </w:r>
          </w:p>
        </w:tc>
        <w:tc>
          <w:tcPr>
            <w:tcW w:w="6624" w:type="dxa"/>
            <w:tcBorders>
              <w:top w:val="nil"/>
              <w:left w:val="nil"/>
              <w:bottom w:val="nil"/>
              <w:right w:val="nil"/>
            </w:tcBorders>
            <w:shd w:val="clear" w:color="auto" w:fill="auto"/>
            <w:vAlign w:val="center"/>
          </w:tcPr>
          <w:p w14:paraId="33C2D38B" w14:textId="77777777" w:rsidR="003254FE" w:rsidRPr="00204923" w:rsidRDefault="003254FE" w:rsidP="000774BA">
            <w:pPr>
              <w:spacing w:after="0"/>
              <w:rPr>
                <w:rFonts w:cs="Calibri"/>
              </w:rPr>
            </w:pPr>
            <w:r>
              <w:rPr>
                <w:rFonts w:cs="Calibri"/>
              </w:rPr>
              <w:t>July 24, 2016</w:t>
            </w:r>
          </w:p>
        </w:tc>
      </w:tr>
    </w:tbl>
    <w:p w14:paraId="421A5145" w14:textId="77777777" w:rsidR="00CD10BC" w:rsidRPr="00CD10BC" w:rsidRDefault="00CD10BC" w:rsidP="00CD10BC">
      <w:pPr>
        <w:autoSpaceDE w:val="0"/>
        <w:autoSpaceDN w:val="0"/>
        <w:adjustRightInd w:val="0"/>
        <w:spacing w:after="0" w:line="240" w:lineRule="auto"/>
        <w:rPr>
          <w:rFonts w:eastAsiaTheme="minorHAnsi" w:cs="Calibri"/>
          <w:color w:val="000000"/>
          <w:sz w:val="24"/>
          <w:szCs w:val="24"/>
        </w:rPr>
      </w:pPr>
    </w:p>
    <w:p w14:paraId="06ACAC38" w14:textId="01CC4299" w:rsidR="00CD10BC" w:rsidRDefault="00CD10BC" w:rsidP="00CD10BC">
      <w:pPr>
        <w:autoSpaceDE w:val="0"/>
        <w:autoSpaceDN w:val="0"/>
        <w:adjustRightInd w:val="0"/>
        <w:spacing w:after="0" w:line="240" w:lineRule="auto"/>
        <w:rPr>
          <w:rFonts w:eastAsiaTheme="minorHAnsi" w:cs="Calibri"/>
          <w:color w:val="000000"/>
          <w:sz w:val="23"/>
          <w:szCs w:val="23"/>
        </w:rPr>
      </w:pPr>
      <w:r w:rsidRPr="00CD10BC">
        <w:rPr>
          <w:rFonts w:eastAsiaTheme="minorHAnsi" w:cs="Calibri"/>
          <w:color w:val="000000"/>
          <w:sz w:val="24"/>
          <w:szCs w:val="24"/>
        </w:rPr>
        <w:t xml:space="preserve"> </w:t>
      </w:r>
      <w:r w:rsidRPr="00CD10BC">
        <w:rPr>
          <w:rFonts w:eastAsiaTheme="minorHAnsi" w:cs="Calibri"/>
          <w:color w:val="000000"/>
          <w:sz w:val="23"/>
          <w:szCs w:val="23"/>
        </w:rPr>
        <w:t xml:space="preserve">The Catastrophic Weather Committee (CWC) will be a standing committee composed of volunteers that have expressed interest in serving on the CWC. These individuals will then be appointed by the President to serve. The President will designate a Chairperson and Vice-Chairperson of the CWC at this time. </w:t>
      </w:r>
    </w:p>
    <w:p w14:paraId="1423AA45" w14:textId="77777777" w:rsidR="00745ABC" w:rsidRPr="00CD10BC" w:rsidRDefault="00745ABC" w:rsidP="00CD10BC">
      <w:pPr>
        <w:autoSpaceDE w:val="0"/>
        <w:autoSpaceDN w:val="0"/>
        <w:adjustRightInd w:val="0"/>
        <w:spacing w:after="0" w:line="240" w:lineRule="auto"/>
        <w:rPr>
          <w:rFonts w:eastAsiaTheme="minorHAnsi" w:cs="Calibri"/>
          <w:color w:val="000000"/>
          <w:sz w:val="23"/>
          <w:szCs w:val="23"/>
        </w:rPr>
      </w:pPr>
    </w:p>
    <w:p w14:paraId="2957A641" w14:textId="3747E5DF" w:rsidR="00CD10BC" w:rsidRDefault="00CD10BC" w:rsidP="00CD10BC">
      <w:pPr>
        <w:autoSpaceDE w:val="0"/>
        <w:autoSpaceDN w:val="0"/>
        <w:adjustRightInd w:val="0"/>
        <w:spacing w:after="0" w:line="240" w:lineRule="auto"/>
        <w:rPr>
          <w:rFonts w:eastAsiaTheme="minorHAnsi" w:cs="Calibri"/>
          <w:color w:val="000000"/>
          <w:sz w:val="23"/>
          <w:szCs w:val="23"/>
        </w:rPr>
      </w:pPr>
      <w:r w:rsidRPr="00CD10BC">
        <w:rPr>
          <w:rFonts w:eastAsiaTheme="minorHAnsi" w:cs="Calibri"/>
          <w:color w:val="000000"/>
          <w:sz w:val="23"/>
          <w:szCs w:val="23"/>
        </w:rPr>
        <w:t xml:space="preserve">The formation of this committee, its </w:t>
      </w:r>
      <w:proofErr w:type="gramStart"/>
      <w:r w:rsidRPr="00CD10BC">
        <w:rPr>
          <w:rFonts w:eastAsiaTheme="minorHAnsi" w:cs="Calibri"/>
          <w:color w:val="000000"/>
          <w:sz w:val="23"/>
          <w:szCs w:val="23"/>
        </w:rPr>
        <w:t>purpose</w:t>
      </w:r>
      <w:proofErr w:type="gramEnd"/>
      <w:r w:rsidRPr="00CD10BC">
        <w:rPr>
          <w:rFonts w:eastAsiaTheme="minorHAnsi" w:cs="Calibri"/>
          <w:color w:val="000000"/>
          <w:sz w:val="23"/>
          <w:szCs w:val="23"/>
        </w:rPr>
        <w:t xml:space="preserve"> and the rules for applying will be posted in the Southern Concourse to make all members aware of its existence and to inform them of the rules for applying for aid in the event of a natural disaster. </w:t>
      </w:r>
    </w:p>
    <w:p w14:paraId="5C4A6D75" w14:textId="77777777" w:rsidR="00745ABC" w:rsidRPr="00CD10BC" w:rsidRDefault="00745ABC" w:rsidP="00CD10BC">
      <w:pPr>
        <w:autoSpaceDE w:val="0"/>
        <w:autoSpaceDN w:val="0"/>
        <w:adjustRightInd w:val="0"/>
        <w:spacing w:after="0" w:line="240" w:lineRule="auto"/>
        <w:rPr>
          <w:rFonts w:eastAsiaTheme="minorHAnsi" w:cs="Calibri"/>
          <w:color w:val="000000"/>
          <w:sz w:val="23"/>
          <w:szCs w:val="23"/>
        </w:rPr>
      </w:pPr>
    </w:p>
    <w:p w14:paraId="2291D126" w14:textId="77777777" w:rsidR="00CD10BC" w:rsidRPr="00CD10BC" w:rsidRDefault="00CD10BC" w:rsidP="00CD10BC">
      <w:pPr>
        <w:autoSpaceDE w:val="0"/>
        <w:autoSpaceDN w:val="0"/>
        <w:adjustRightInd w:val="0"/>
        <w:spacing w:after="0" w:line="240" w:lineRule="auto"/>
        <w:rPr>
          <w:rFonts w:eastAsiaTheme="minorHAnsi" w:cs="Calibri"/>
          <w:color w:val="000000"/>
          <w:sz w:val="23"/>
          <w:szCs w:val="23"/>
        </w:rPr>
      </w:pPr>
      <w:r w:rsidRPr="00CD10BC">
        <w:rPr>
          <w:rFonts w:eastAsiaTheme="minorHAnsi" w:cs="Calibri"/>
          <w:color w:val="000000"/>
          <w:sz w:val="23"/>
          <w:szCs w:val="23"/>
        </w:rPr>
        <w:t xml:space="preserve">Duties and responsibilities of the Catastrophic Weather Committee include: </w:t>
      </w:r>
    </w:p>
    <w:p w14:paraId="4F1167DC" w14:textId="2597CAFA" w:rsidR="00CD10BC" w:rsidRDefault="00CD10BC" w:rsidP="00745ABC">
      <w:pPr>
        <w:pStyle w:val="ListParagraph"/>
        <w:numPr>
          <w:ilvl w:val="0"/>
          <w:numId w:val="25"/>
        </w:numPr>
        <w:autoSpaceDE w:val="0"/>
        <w:autoSpaceDN w:val="0"/>
        <w:adjustRightInd w:val="0"/>
        <w:spacing w:after="0" w:line="240" w:lineRule="auto"/>
        <w:rPr>
          <w:rFonts w:eastAsiaTheme="minorHAnsi" w:cs="Calibri"/>
          <w:color w:val="000000"/>
          <w:sz w:val="23"/>
          <w:szCs w:val="23"/>
        </w:rPr>
      </w:pPr>
      <w:r w:rsidRPr="00745ABC">
        <w:rPr>
          <w:rFonts w:eastAsiaTheme="minorHAnsi" w:cs="Calibri"/>
          <w:color w:val="000000"/>
          <w:sz w:val="23"/>
          <w:szCs w:val="23"/>
        </w:rPr>
        <w:t xml:space="preserve">Gathering items for the silent auction at the Annual Summer Training Conference. The items for auction may be trips, hotel stays, physical items such as microwaves, toasters or any items that may be of interest to the membership. </w:t>
      </w:r>
    </w:p>
    <w:p w14:paraId="4B529F2D" w14:textId="77777777" w:rsidR="00745ABC" w:rsidRPr="00745ABC" w:rsidRDefault="00745ABC" w:rsidP="00745ABC">
      <w:pPr>
        <w:pStyle w:val="ListParagraph"/>
        <w:autoSpaceDE w:val="0"/>
        <w:autoSpaceDN w:val="0"/>
        <w:adjustRightInd w:val="0"/>
        <w:spacing w:after="0" w:line="240" w:lineRule="auto"/>
        <w:ind w:left="1080"/>
        <w:rPr>
          <w:rFonts w:eastAsiaTheme="minorHAnsi" w:cs="Calibri"/>
          <w:color w:val="000000"/>
          <w:sz w:val="23"/>
          <w:szCs w:val="23"/>
        </w:rPr>
      </w:pPr>
    </w:p>
    <w:p w14:paraId="7D1B6564" w14:textId="3E284C2F" w:rsidR="00745ABC" w:rsidRPr="00745ABC" w:rsidRDefault="00CD10BC" w:rsidP="00745ABC">
      <w:pPr>
        <w:pStyle w:val="ListParagraph"/>
        <w:numPr>
          <w:ilvl w:val="0"/>
          <w:numId w:val="25"/>
        </w:numPr>
        <w:autoSpaceDE w:val="0"/>
        <w:autoSpaceDN w:val="0"/>
        <w:adjustRightInd w:val="0"/>
        <w:spacing w:after="0" w:line="240" w:lineRule="auto"/>
        <w:rPr>
          <w:rFonts w:eastAsiaTheme="minorHAnsi" w:cs="Calibri"/>
          <w:color w:val="000000"/>
          <w:sz w:val="23"/>
          <w:szCs w:val="23"/>
        </w:rPr>
      </w:pPr>
      <w:r w:rsidRPr="00745ABC">
        <w:rPr>
          <w:rFonts w:eastAsiaTheme="minorHAnsi" w:cs="Calibri"/>
          <w:color w:val="000000"/>
          <w:sz w:val="23"/>
          <w:szCs w:val="23"/>
        </w:rPr>
        <w:t xml:space="preserve">The silent auction will be conducted for two (2) days with the announcement of the winners made at the annual banquet. (Posting of the names of the winners outside the banquet will be sufficient). </w:t>
      </w:r>
    </w:p>
    <w:p w14:paraId="213D0CFF" w14:textId="77777777" w:rsidR="00745ABC" w:rsidRPr="00745ABC" w:rsidRDefault="00745ABC" w:rsidP="00745ABC">
      <w:pPr>
        <w:autoSpaceDE w:val="0"/>
        <w:autoSpaceDN w:val="0"/>
        <w:adjustRightInd w:val="0"/>
        <w:spacing w:after="0" w:line="240" w:lineRule="auto"/>
        <w:rPr>
          <w:rFonts w:eastAsiaTheme="minorHAnsi" w:cs="Calibri"/>
          <w:color w:val="000000"/>
          <w:sz w:val="23"/>
          <w:szCs w:val="23"/>
        </w:rPr>
      </w:pPr>
    </w:p>
    <w:p w14:paraId="672B2BC7" w14:textId="5D3A26B2" w:rsidR="00745ABC" w:rsidRPr="00745ABC" w:rsidRDefault="00CD10BC" w:rsidP="00745ABC">
      <w:pPr>
        <w:pStyle w:val="ListParagraph"/>
        <w:numPr>
          <w:ilvl w:val="0"/>
          <w:numId w:val="25"/>
        </w:numPr>
        <w:autoSpaceDE w:val="0"/>
        <w:autoSpaceDN w:val="0"/>
        <w:adjustRightInd w:val="0"/>
        <w:spacing w:after="0" w:line="240" w:lineRule="auto"/>
        <w:rPr>
          <w:rFonts w:eastAsiaTheme="minorHAnsi" w:cs="Calibri"/>
          <w:color w:val="000000"/>
          <w:sz w:val="23"/>
          <w:szCs w:val="23"/>
        </w:rPr>
      </w:pPr>
      <w:r w:rsidRPr="00745ABC">
        <w:rPr>
          <w:rFonts w:eastAsiaTheme="minorHAnsi" w:cs="Calibri"/>
          <w:color w:val="000000"/>
          <w:sz w:val="23"/>
          <w:szCs w:val="23"/>
        </w:rPr>
        <w:t xml:space="preserve">Monies raised will be placed in a separate bank account that will be labeled Catastrophic Weather Funds. Payout of monies will require the same signatory process as all other funds. These funds will not be used for any purpose but the catastrophic weather fund. </w:t>
      </w:r>
    </w:p>
    <w:p w14:paraId="63555F69" w14:textId="77777777" w:rsidR="00745ABC" w:rsidRPr="00745ABC" w:rsidRDefault="00745ABC" w:rsidP="00745ABC">
      <w:pPr>
        <w:autoSpaceDE w:val="0"/>
        <w:autoSpaceDN w:val="0"/>
        <w:adjustRightInd w:val="0"/>
        <w:spacing w:after="0" w:line="240" w:lineRule="auto"/>
        <w:rPr>
          <w:rFonts w:eastAsiaTheme="minorHAnsi" w:cs="Calibri"/>
          <w:color w:val="000000"/>
          <w:sz w:val="23"/>
          <w:szCs w:val="23"/>
        </w:rPr>
      </w:pPr>
    </w:p>
    <w:p w14:paraId="4BD449EC" w14:textId="6CFF3A7A" w:rsidR="00745ABC" w:rsidRPr="00745ABC" w:rsidRDefault="00CD10BC" w:rsidP="00745ABC">
      <w:pPr>
        <w:pStyle w:val="ListParagraph"/>
        <w:numPr>
          <w:ilvl w:val="0"/>
          <w:numId w:val="25"/>
        </w:numPr>
        <w:autoSpaceDE w:val="0"/>
        <w:autoSpaceDN w:val="0"/>
        <w:adjustRightInd w:val="0"/>
        <w:spacing w:after="0" w:line="240" w:lineRule="auto"/>
        <w:rPr>
          <w:rFonts w:eastAsiaTheme="minorHAnsi" w:cs="Calibri"/>
          <w:color w:val="000000"/>
          <w:sz w:val="23"/>
          <w:szCs w:val="23"/>
        </w:rPr>
      </w:pPr>
      <w:r w:rsidRPr="00745ABC">
        <w:rPr>
          <w:rFonts w:eastAsiaTheme="minorHAnsi" w:cs="Calibri"/>
          <w:color w:val="000000"/>
          <w:sz w:val="23"/>
          <w:szCs w:val="23"/>
        </w:rPr>
        <w:t xml:space="preserve">Funds raised will be held in the Catastrophic Weather Fund until such time as needed. </w:t>
      </w:r>
      <w:r w:rsidR="00745ABC" w:rsidRPr="00745ABC">
        <w:rPr>
          <w:rFonts w:eastAsiaTheme="minorHAnsi" w:cs="Calibri"/>
          <w:color w:val="000000"/>
          <w:sz w:val="23"/>
          <w:szCs w:val="23"/>
        </w:rPr>
        <w:t xml:space="preserve">  </w:t>
      </w:r>
    </w:p>
    <w:p w14:paraId="77FAD661" w14:textId="77777777" w:rsidR="00745ABC" w:rsidRPr="00745ABC" w:rsidRDefault="00745ABC" w:rsidP="00745ABC">
      <w:pPr>
        <w:autoSpaceDE w:val="0"/>
        <w:autoSpaceDN w:val="0"/>
        <w:adjustRightInd w:val="0"/>
        <w:spacing w:after="0" w:line="240" w:lineRule="auto"/>
        <w:rPr>
          <w:rFonts w:eastAsiaTheme="minorHAnsi" w:cs="Calibri"/>
          <w:color w:val="000000"/>
          <w:sz w:val="23"/>
          <w:szCs w:val="23"/>
        </w:rPr>
      </w:pPr>
    </w:p>
    <w:p w14:paraId="0E1EBDC4" w14:textId="492E1259" w:rsidR="00CD10BC" w:rsidRPr="00745ABC" w:rsidRDefault="00CD10BC" w:rsidP="00745ABC">
      <w:pPr>
        <w:pStyle w:val="ListParagraph"/>
        <w:numPr>
          <w:ilvl w:val="0"/>
          <w:numId w:val="25"/>
        </w:numPr>
        <w:autoSpaceDE w:val="0"/>
        <w:autoSpaceDN w:val="0"/>
        <w:adjustRightInd w:val="0"/>
        <w:spacing w:after="0" w:line="240" w:lineRule="auto"/>
        <w:rPr>
          <w:rFonts w:eastAsiaTheme="minorHAnsi" w:cs="Calibri"/>
          <w:sz w:val="23"/>
          <w:szCs w:val="23"/>
        </w:rPr>
      </w:pPr>
      <w:r w:rsidRPr="00745ABC">
        <w:rPr>
          <w:rFonts w:eastAsiaTheme="minorHAnsi" w:cs="Calibri"/>
          <w:sz w:val="23"/>
          <w:szCs w:val="23"/>
        </w:rPr>
        <w:t xml:space="preserve">Funds may be requested from this fund by anyone who is an active, current member of SSCA for at least one year prior to a catastrophic weather event. </w:t>
      </w:r>
    </w:p>
    <w:p w14:paraId="2BF8DE96" w14:textId="77777777" w:rsidR="00745ABC" w:rsidRPr="00745ABC" w:rsidRDefault="00745ABC" w:rsidP="00745ABC">
      <w:pPr>
        <w:autoSpaceDE w:val="0"/>
        <w:autoSpaceDN w:val="0"/>
        <w:adjustRightInd w:val="0"/>
        <w:spacing w:after="0" w:line="240" w:lineRule="auto"/>
        <w:rPr>
          <w:rFonts w:eastAsiaTheme="minorHAnsi" w:cs="Calibri"/>
          <w:sz w:val="23"/>
          <w:szCs w:val="23"/>
        </w:rPr>
      </w:pPr>
    </w:p>
    <w:p w14:paraId="4C62AF3E" w14:textId="06936D8A" w:rsidR="00CD10BC" w:rsidRDefault="00CD10BC" w:rsidP="00745ABC">
      <w:pPr>
        <w:autoSpaceDE w:val="0"/>
        <w:autoSpaceDN w:val="0"/>
        <w:adjustRightInd w:val="0"/>
        <w:spacing w:after="0" w:line="240" w:lineRule="auto"/>
        <w:ind w:left="1710" w:hanging="270"/>
        <w:rPr>
          <w:rFonts w:eastAsiaTheme="minorHAnsi" w:cs="Calibri"/>
          <w:sz w:val="23"/>
          <w:szCs w:val="23"/>
        </w:rPr>
      </w:pPr>
      <w:r w:rsidRPr="00CD10BC">
        <w:rPr>
          <w:rFonts w:eastAsiaTheme="minorHAnsi" w:cs="Calibri"/>
          <w:sz w:val="23"/>
          <w:szCs w:val="23"/>
        </w:rPr>
        <w:t>a.</w:t>
      </w:r>
      <w:r w:rsidR="00745ABC">
        <w:rPr>
          <w:rFonts w:eastAsiaTheme="minorHAnsi" w:cs="Calibri"/>
          <w:sz w:val="23"/>
          <w:szCs w:val="23"/>
        </w:rPr>
        <w:t xml:space="preserve">  </w:t>
      </w:r>
      <w:proofErr w:type="gramStart"/>
      <w:r w:rsidRPr="00CD10BC">
        <w:rPr>
          <w:rFonts w:eastAsiaTheme="minorHAnsi" w:cs="Calibri"/>
          <w:sz w:val="23"/>
          <w:szCs w:val="23"/>
        </w:rPr>
        <w:t>For the purpose of</w:t>
      </w:r>
      <w:proofErr w:type="gramEnd"/>
      <w:r w:rsidRPr="00CD10BC">
        <w:rPr>
          <w:rFonts w:eastAsiaTheme="minorHAnsi" w:cs="Calibri"/>
          <w:sz w:val="23"/>
          <w:szCs w:val="23"/>
        </w:rPr>
        <w:t xml:space="preserve"> this SOP, a catastrophic weather event is defined as a hurricane, tornado or flood that has been labeled as such by the National Weather Service</w:t>
      </w:r>
      <w:r w:rsidR="001051FD">
        <w:rPr>
          <w:rFonts w:eastAsiaTheme="minorHAnsi" w:cs="Calibri"/>
          <w:sz w:val="23"/>
          <w:szCs w:val="23"/>
        </w:rPr>
        <w:t xml:space="preserve"> or severe weather, such as storms, high water, or earthquake, that resulted in the Governor declaring the county of the member’s residence as a disaster area</w:t>
      </w:r>
      <w:r w:rsidRPr="00CD10BC">
        <w:rPr>
          <w:rFonts w:eastAsiaTheme="minorHAnsi" w:cs="Calibri"/>
          <w:sz w:val="23"/>
          <w:szCs w:val="23"/>
        </w:rPr>
        <w:t xml:space="preserve">. </w:t>
      </w:r>
    </w:p>
    <w:p w14:paraId="7707842B" w14:textId="77777777" w:rsidR="00745ABC" w:rsidRPr="00CD10BC" w:rsidRDefault="00745ABC" w:rsidP="00745ABC">
      <w:pPr>
        <w:autoSpaceDE w:val="0"/>
        <w:autoSpaceDN w:val="0"/>
        <w:adjustRightInd w:val="0"/>
        <w:spacing w:after="0" w:line="240" w:lineRule="auto"/>
        <w:ind w:left="1710" w:hanging="270"/>
        <w:rPr>
          <w:rFonts w:eastAsiaTheme="minorHAnsi" w:cs="Calibri"/>
          <w:sz w:val="23"/>
          <w:szCs w:val="23"/>
        </w:rPr>
      </w:pPr>
    </w:p>
    <w:p w14:paraId="00E9A95B" w14:textId="76666080" w:rsidR="00CD10BC" w:rsidRDefault="00CD10BC" w:rsidP="00745ABC">
      <w:pPr>
        <w:autoSpaceDE w:val="0"/>
        <w:autoSpaceDN w:val="0"/>
        <w:adjustRightInd w:val="0"/>
        <w:spacing w:after="0" w:line="240" w:lineRule="auto"/>
        <w:ind w:left="1710" w:hanging="270"/>
        <w:rPr>
          <w:rFonts w:eastAsiaTheme="minorHAnsi" w:cs="Calibri"/>
          <w:sz w:val="23"/>
          <w:szCs w:val="23"/>
        </w:rPr>
      </w:pPr>
      <w:r w:rsidRPr="00CD10BC">
        <w:rPr>
          <w:rFonts w:eastAsiaTheme="minorHAnsi" w:cs="Calibri"/>
          <w:sz w:val="23"/>
          <w:szCs w:val="23"/>
        </w:rPr>
        <w:t xml:space="preserve">b. The maximum amount of an award to any member shall be no greater than five hundred dollars ($500) per calendar year. </w:t>
      </w:r>
    </w:p>
    <w:p w14:paraId="50910A81" w14:textId="77777777" w:rsidR="00745ABC" w:rsidRPr="00CD10BC" w:rsidRDefault="00745ABC" w:rsidP="00745ABC">
      <w:pPr>
        <w:autoSpaceDE w:val="0"/>
        <w:autoSpaceDN w:val="0"/>
        <w:adjustRightInd w:val="0"/>
        <w:spacing w:after="0" w:line="240" w:lineRule="auto"/>
        <w:ind w:left="1710" w:hanging="270"/>
        <w:rPr>
          <w:rFonts w:eastAsiaTheme="minorHAnsi" w:cs="Calibri"/>
          <w:sz w:val="23"/>
          <w:szCs w:val="23"/>
        </w:rPr>
      </w:pPr>
    </w:p>
    <w:p w14:paraId="1F12B4A5" w14:textId="007003A8" w:rsidR="00CD10BC" w:rsidRPr="00745ABC" w:rsidRDefault="00CD10BC" w:rsidP="00745ABC">
      <w:pPr>
        <w:pStyle w:val="ListParagraph"/>
        <w:numPr>
          <w:ilvl w:val="0"/>
          <w:numId w:val="25"/>
        </w:numPr>
        <w:autoSpaceDE w:val="0"/>
        <w:autoSpaceDN w:val="0"/>
        <w:adjustRightInd w:val="0"/>
        <w:spacing w:after="0" w:line="240" w:lineRule="auto"/>
        <w:rPr>
          <w:rFonts w:eastAsiaTheme="minorHAnsi" w:cs="Calibri"/>
          <w:sz w:val="23"/>
          <w:szCs w:val="23"/>
        </w:rPr>
      </w:pPr>
      <w:r w:rsidRPr="00745ABC">
        <w:rPr>
          <w:rFonts w:eastAsiaTheme="minorHAnsi" w:cs="Calibri"/>
          <w:sz w:val="23"/>
          <w:szCs w:val="23"/>
        </w:rPr>
        <w:t xml:space="preserve">Once a catastrophic event has been declared, members of SSCA, whose membership has been active for a minimum of one year, may apply, in writing to their State Representative for assistance. </w:t>
      </w:r>
    </w:p>
    <w:p w14:paraId="0C7BB233" w14:textId="77777777" w:rsidR="00745ABC" w:rsidRPr="00745ABC" w:rsidRDefault="00745ABC" w:rsidP="00745ABC">
      <w:pPr>
        <w:pStyle w:val="ListParagraph"/>
        <w:autoSpaceDE w:val="0"/>
        <w:autoSpaceDN w:val="0"/>
        <w:adjustRightInd w:val="0"/>
        <w:spacing w:after="0" w:line="240" w:lineRule="auto"/>
        <w:ind w:left="1080"/>
        <w:rPr>
          <w:rFonts w:eastAsiaTheme="minorHAnsi" w:cs="Calibri"/>
          <w:sz w:val="23"/>
          <w:szCs w:val="23"/>
        </w:rPr>
      </w:pPr>
    </w:p>
    <w:p w14:paraId="2BA8D458" w14:textId="3E054D14" w:rsidR="00CD10BC" w:rsidRPr="00745ABC" w:rsidRDefault="00CD10BC" w:rsidP="00745ABC">
      <w:pPr>
        <w:pStyle w:val="ListParagraph"/>
        <w:numPr>
          <w:ilvl w:val="0"/>
          <w:numId w:val="26"/>
        </w:numPr>
        <w:autoSpaceDE w:val="0"/>
        <w:autoSpaceDN w:val="0"/>
        <w:adjustRightInd w:val="0"/>
        <w:spacing w:after="0" w:line="240" w:lineRule="auto"/>
        <w:rPr>
          <w:rFonts w:eastAsiaTheme="minorHAnsi" w:cs="Calibri"/>
          <w:sz w:val="23"/>
          <w:szCs w:val="23"/>
        </w:rPr>
      </w:pPr>
      <w:r w:rsidRPr="00745ABC">
        <w:rPr>
          <w:rFonts w:eastAsiaTheme="minorHAnsi" w:cs="Calibri"/>
          <w:sz w:val="23"/>
          <w:szCs w:val="23"/>
        </w:rPr>
        <w:t xml:space="preserve">The State Representative will then forward this request, in writing, explaining the nature of the loss and the circumstances, to the Chairperson of the CWC for consideration by the committee. </w:t>
      </w:r>
    </w:p>
    <w:p w14:paraId="62B111D0" w14:textId="77777777" w:rsidR="00745ABC" w:rsidRPr="00745ABC" w:rsidRDefault="00745ABC" w:rsidP="00745ABC">
      <w:pPr>
        <w:pStyle w:val="ListParagraph"/>
        <w:autoSpaceDE w:val="0"/>
        <w:autoSpaceDN w:val="0"/>
        <w:adjustRightInd w:val="0"/>
        <w:spacing w:after="0" w:line="240" w:lineRule="auto"/>
        <w:ind w:left="1800"/>
        <w:rPr>
          <w:rFonts w:eastAsiaTheme="minorHAnsi" w:cs="Calibri"/>
          <w:sz w:val="23"/>
          <w:szCs w:val="23"/>
        </w:rPr>
      </w:pPr>
    </w:p>
    <w:p w14:paraId="06E6EE01" w14:textId="60DE0C5D" w:rsidR="00CD10BC" w:rsidRPr="00745ABC" w:rsidRDefault="00CD10BC" w:rsidP="00745ABC">
      <w:pPr>
        <w:pStyle w:val="ListParagraph"/>
        <w:numPr>
          <w:ilvl w:val="0"/>
          <w:numId w:val="26"/>
        </w:numPr>
        <w:autoSpaceDE w:val="0"/>
        <w:autoSpaceDN w:val="0"/>
        <w:adjustRightInd w:val="0"/>
        <w:spacing w:after="0" w:line="240" w:lineRule="auto"/>
        <w:rPr>
          <w:rFonts w:eastAsiaTheme="minorHAnsi" w:cs="Calibri"/>
          <w:sz w:val="23"/>
          <w:szCs w:val="23"/>
        </w:rPr>
      </w:pPr>
      <w:r w:rsidRPr="00745ABC">
        <w:rPr>
          <w:rFonts w:eastAsiaTheme="minorHAnsi" w:cs="Calibri"/>
          <w:sz w:val="23"/>
          <w:szCs w:val="23"/>
        </w:rPr>
        <w:t xml:space="preserve">Requests will be dated by the Chairperson of the CWC to indicate the date the request was </w:t>
      </w:r>
      <w:r w:rsidR="00745ABC" w:rsidRPr="00745ABC">
        <w:rPr>
          <w:rFonts w:eastAsiaTheme="minorHAnsi" w:cs="Calibri"/>
          <w:sz w:val="23"/>
          <w:szCs w:val="23"/>
        </w:rPr>
        <w:t>received,</w:t>
      </w:r>
      <w:r w:rsidRPr="00745ABC">
        <w:rPr>
          <w:rFonts w:eastAsiaTheme="minorHAnsi" w:cs="Calibri"/>
          <w:sz w:val="23"/>
          <w:szCs w:val="23"/>
        </w:rPr>
        <w:t xml:space="preserve"> and requests will be considered on a “first come, first served basis.” </w:t>
      </w:r>
    </w:p>
    <w:p w14:paraId="19739131" w14:textId="77777777" w:rsidR="00745ABC" w:rsidRPr="00745ABC" w:rsidRDefault="00745ABC" w:rsidP="00745ABC">
      <w:pPr>
        <w:autoSpaceDE w:val="0"/>
        <w:autoSpaceDN w:val="0"/>
        <w:adjustRightInd w:val="0"/>
        <w:spacing w:after="0" w:line="240" w:lineRule="auto"/>
        <w:rPr>
          <w:rFonts w:eastAsiaTheme="minorHAnsi" w:cs="Calibri"/>
          <w:sz w:val="23"/>
          <w:szCs w:val="23"/>
        </w:rPr>
      </w:pPr>
    </w:p>
    <w:p w14:paraId="644556C5" w14:textId="4BFD351D" w:rsidR="00CD10BC" w:rsidRPr="00745ABC" w:rsidRDefault="00CD10BC" w:rsidP="00745ABC">
      <w:pPr>
        <w:pStyle w:val="ListParagraph"/>
        <w:numPr>
          <w:ilvl w:val="0"/>
          <w:numId w:val="26"/>
        </w:numPr>
        <w:autoSpaceDE w:val="0"/>
        <w:autoSpaceDN w:val="0"/>
        <w:adjustRightInd w:val="0"/>
        <w:spacing w:after="0" w:line="240" w:lineRule="auto"/>
        <w:rPr>
          <w:rFonts w:eastAsiaTheme="minorHAnsi" w:cs="Calibri"/>
          <w:sz w:val="23"/>
          <w:szCs w:val="23"/>
        </w:rPr>
      </w:pPr>
      <w:r w:rsidRPr="00745ABC">
        <w:rPr>
          <w:rFonts w:eastAsiaTheme="minorHAnsi" w:cs="Calibri"/>
          <w:sz w:val="23"/>
          <w:szCs w:val="23"/>
        </w:rPr>
        <w:t xml:space="preserve">If the committee approves the request, it will designate an amount to be paid and forward it to the SSCA Treasurer for payment. </w:t>
      </w:r>
    </w:p>
    <w:p w14:paraId="791C412C" w14:textId="77777777" w:rsidR="00745ABC" w:rsidRPr="00745ABC" w:rsidRDefault="00745ABC" w:rsidP="00745ABC">
      <w:pPr>
        <w:autoSpaceDE w:val="0"/>
        <w:autoSpaceDN w:val="0"/>
        <w:adjustRightInd w:val="0"/>
        <w:spacing w:after="0" w:line="240" w:lineRule="auto"/>
        <w:rPr>
          <w:rFonts w:eastAsiaTheme="minorHAnsi" w:cs="Calibri"/>
          <w:sz w:val="23"/>
          <w:szCs w:val="23"/>
        </w:rPr>
      </w:pPr>
    </w:p>
    <w:p w14:paraId="51618E4C" w14:textId="5F82582D" w:rsidR="00745ABC" w:rsidRPr="00745ABC" w:rsidRDefault="00CD10BC" w:rsidP="00745ABC">
      <w:pPr>
        <w:pStyle w:val="ListParagraph"/>
        <w:numPr>
          <w:ilvl w:val="0"/>
          <w:numId w:val="26"/>
        </w:numPr>
        <w:autoSpaceDE w:val="0"/>
        <w:autoSpaceDN w:val="0"/>
        <w:adjustRightInd w:val="0"/>
        <w:spacing w:after="0" w:line="240" w:lineRule="auto"/>
        <w:rPr>
          <w:rFonts w:eastAsiaTheme="minorHAnsi" w:cs="Calibri"/>
          <w:sz w:val="23"/>
          <w:szCs w:val="23"/>
        </w:rPr>
      </w:pPr>
      <w:r w:rsidRPr="00745ABC">
        <w:rPr>
          <w:rFonts w:eastAsiaTheme="minorHAnsi" w:cs="Calibri"/>
          <w:sz w:val="23"/>
          <w:szCs w:val="23"/>
        </w:rPr>
        <w:t xml:space="preserve">The Chairperson of the CWC will also inform the State Representative of the results of the request. </w:t>
      </w:r>
    </w:p>
    <w:p w14:paraId="1E8B427C" w14:textId="77777777" w:rsidR="00745ABC" w:rsidRPr="00745ABC" w:rsidRDefault="00745ABC" w:rsidP="00745ABC">
      <w:pPr>
        <w:autoSpaceDE w:val="0"/>
        <w:autoSpaceDN w:val="0"/>
        <w:adjustRightInd w:val="0"/>
        <w:spacing w:after="0" w:line="240" w:lineRule="auto"/>
        <w:rPr>
          <w:rFonts w:eastAsiaTheme="minorHAnsi" w:cs="Calibri"/>
          <w:sz w:val="23"/>
          <w:szCs w:val="23"/>
        </w:rPr>
      </w:pPr>
    </w:p>
    <w:p w14:paraId="204A6F9C" w14:textId="608B0C3E" w:rsidR="00006BE7" w:rsidRPr="000F4992" w:rsidRDefault="00CD10BC" w:rsidP="00745ABC">
      <w:pPr>
        <w:autoSpaceDE w:val="0"/>
        <w:autoSpaceDN w:val="0"/>
        <w:adjustRightInd w:val="0"/>
        <w:spacing w:after="0" w:line="240" w:lineRule="auto"/>
        <w:ind w:left="1710" w:hanging="270"/>
      </w:pPr>
      <w:r w:rsidRPr="00CD10BC">
        <w:rPr>
          <w:rFonts w:eastAsiaTheme="minorHAnsi" w:cs="Calibri"/>
          <w:sz w:val="23"/>
          <w:szCs w:val="23"/>
        </w:rPr>
        <w:t>e. Funds may be expended by the CWC until all requests have been filled or funds are exhausted, whichever comes first.</w:t>
      </w:r>
    </w:p>
    <w:sectPr w:rsidR="00006BE7" w:rsidRPr="000F4992" w:rsidSect="008C12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B1408" w14:textId="77777777" w:rsidR="007B7149" w:rsidRDefault="007B7149" w:rsidP="009B4DAF">
      <w:pPr>
        <w:spacing w:after="0" w:line="240" w:lineRule="auto"/>
      </w:pPr>
      <w:r>
        <w:separator/>
      </w:r>
    </w:p>
  </w:endnote>
  <w:endnote w:type="continuationSeparator" w:id="0">
    <w:p w14:paraId="31F8ACA0" w14:textId="77777777" w:rsidR="007B7149" w:rsidRDefault="007B7149" w:rsidP="009B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F2C6" w14:textId="77777777" w:rsidR="0074037C" w:rsidRDefault="0074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627900050"/>
      <w:docPartObj>
        <w:docPartGallery w:val="Page Numbers (Bottom of Page)"/>
        <w:docPartUnique/>
      </w:docPartObj>
    </w:sdtPr>
    <w:sdtEndPr/>
    <w:sdtContent>
      <w:p w14:paraId="62FF1306" w14:textId="34A28384" w:rsidR="009B4DAF" w:rsidRPr="007E7FF0" w:rsidRDefault="00402827" w:rsidP="0074037C">
        <w:pPr>
          <w:pStyle w:val="NoSpacing"/>
          <w:jc w:val="right"/>
          <w:rPr>
            <w:sz w:val="18"/>
            <w:szCs w:val="18"/>
          </w:rPr>
        </w:pPr>
        <w:r w:rsidRPr="007E7FF0">
          <w:rPr>
            <w:sz w:val="18"/>
            <w:szCs w:val="18"/>
          </w:rPr>
          <w:t>SOP</w:t>
        </w:r>
        <w:r w:rsidR="00DF715E">
          <w:rPr>
            <w:sz w:val="18"/>
            <w:szCs w:val="18"/>
          </w:rPr>
          <w:t>-309</w:t>
        </w:r>
        <w:r w:rsidR="009B4DAF" w:rsidRPr="007E7FF0">
          <w:rPr>
            <w:sz w:val="18"/>
            <w:szCs w:val="18"/>
          </w:rPr>
          <w:tab/>
        </w:r>
        <w:r w:rsidR="009B4DAF" w:rsidRPr="007E7FF0">
          <w:rPr>
            <w:sz w:val="18"/>
            <w:szCs w:val="18"/>
          </w:rPr>
          <w:tab/>
        </w:r>
        <w:r w:rsidR="007E7FF0">
          <w:rPr>
            <w:sz w:val="18"/>
            <w:szCs w:val="18"/>
          </w:rPr>
          <w:tab/>
        </w:r>
        <w:r w:rsidRPr="007E7FF0">
          <w:rPr>
            <w:sz w:val="18"/>
            <w:szCs w:val="18"/>
          </w:rPr>
          <w:tab/>
        </w:r>
        <w:r w:rsidR="009B4DAF" w:rsidRPr="007E7FF0">
          <w:rPr>
            <w:sz w:val="18"/>
            <w:szCs w:val="18"/>
          </w:rPr>
          <w:t xml:space="preserve">Page </w:t>
        </w:r>
        <w:r w:rsidR="009B4DAF" w:rsidRPr="007E7FF0">
          <w:rPr>
            <w:sz w:val="18"/>
            <w:szCs w:val="18"/>
          </w:rPr>
          <w:fldChar w:fldCharType="begin"/>
        </w:r>
        <w:r w:rsidR="009B4DAF" w:rsidRPr="007E7FF0">
          <w:rPr>
            <w:sz w:val="18"/>
            <w:szCs w:val="18"/>
          </w:rPr>
          <w:instrText xml:space="preserve"> PAGE   \* MERGEFORMAT </w:instrText>
        </w:r>
        <w:r w:rsidR="009B4DAF" w:rsidRPr="007E7FF0">
          <w:rPr>
            <w:sz w:val="18"/>
            <w:szCs w:val="18"/>
          </w:rPr>
          <w:fldChar w:fldCharType="separate"/>
        </w:r>
        <w:r w:rsidR="00B06C99">
          <w:rPr>
            <w:noProof/>
            <w:sz w:val="18"/>
            <w:szCs w:val="18"/>
          </w:rPr>
          <w:t>1</w:t>
        </w:r>
        <w:r w:rsidR="009B4DAF" w:rsidRPr="007E7FF0">
          <w:rPr>
            <w:noProof/>
            <w:sz w:val="18"/>
            <w:szCs w:val="18"/>
          </w:rPr>
          <w:fldChar w:fldCharType="end"/>
        </w:r>
        <w:r w:rsidR="009B4DAF" w:rsidRPr="007E7FF0">
          <w:rPr>
            <w:sz w:val="18"/>
            <w:szCs w:val="18"/>
          </w:rPr>
          <w:t xml:space="preserve"> </w:t>
        </w:r>
        <w:r w:rsidR="003254FE" w:rsidRPr="007E7FF0">
          <w:rPr>
            <w:spacing w:val="60"/>
            <w:sz w:val="18"/>
            <w:szCs w:val="18"/>
          </w:rPr>
          <w:t>o2</w:t>
        </w:r>
        <w:r w:rsidR="00024D4C" w:rsidRPr="007E7FF0">
          <w:rPr>
            <w:spacing w:val="60"/>
            <w:sz w:val="18"/>
            <w:szCs w:val="18"/>
          </w:rPr>
          <w:tab/>
        </w:r>
        <w:r w:rsidR="007E7FF0" w:rsidRPr="007E7FF0">
          <w:rPr>
            <w:spacing w:val="60"/>
            <w:sz w:val="18"/>
            <w:szCs w:val="18"/>
          </w:rPr>
          <w:tab/>
        </w:r>
        <w:r w:rsidR="007E7FF0">
          <w:rPr>
            <w:spacing w:val="60"/>
            <w:sz w:val="18"/>
            <w:szCs w:val="18"/>
          </w:rPr>
          <w:tab/>
        </w:r>
        <w:r w:rsidR="007E7FF0" w:rsidRPr="007E7FF0">
          <w:rPr>
            <w:spacing w:val="60"/>
            <w:sz w:val="18"/>
            <w:szCs w:val="18"/>
          </w:rPr>
          <w:tab/>
        </w:r>
        <w:r w:rsidR="00B37FE9">
          <w:rPr>
            <w:sz w:val="20"/>
            <w:szCs w:val="16"/>
          </w:rPr>
          <w:t>July 2021</w:t>
        </w:r>
        <w:r w:rsidR="00B37FE9" w:rsidRPr="00905FCA">
          <w:rPr>
            <w:sz w:val="20"/>
            <w:szCs w:val="16"/>
          </w:rPr>
          <w:t xml:space="preserve"> Revision</w:t>
        </w:r>
        <w:r w:rsidR="00B37FE9" w:rsidRPr="007E7FF0" w:rsidDel="00745ABC">
          <w:rPr>
            <w:sz w:val="18"/>
            <w:szCs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5FFC1" w14:textId="77777777" w:rsidR="0074037C" w:rsidRDefault="0074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86329" w14:textId="77777777" w:rsidR="007B7149" w:rsidRDefault="007B7149" w:rsidP="009B4DAF">
      <w:pPr>
        <w:spacing w:after="0" w:line="240" w:lineRule="auto"/>
      </w:pPr>
      <w:r>
        <w:separator/>
      </w:r>
    </w:p>
  </w:footnote>
  <w:footnote w:type="continuationSeparator" w:id="0">
    <w:p w14:paraId="35D6B778" w14:textId="77777777" w:rsidR="007B7149" w:rsidRDefault="007B7149" w:rsidP="009B4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F3470" w14:textId="77777777" w:rsidR="0074037C" w:rsidRDefault="00740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5EF1D" w14:textId="77777777" w:rsidR="009B4DAF" w:rsidRPr="00E32A34" w:rsidRDefault="009B4DAF" w:rsidP="009B4DAF">
    <w:pPr>
      <w:pStyle w:val="Header"/>
      <w:jc w:val="center"/>
      <w:rPr>
        <w:b/>
        <w:i/>
        <w:sz w:val="28"/>
        <w:szCs w:val="28"/>
      </w:rPr>
    </w:pPr>
    <w:r w:rsidRPr="00E32A34">
      <w:rPr>
        <w:b/>
        <w:i/>
        <w:sz w:val="28"/>
        <w:szCs w:val="28"/>
      </w:rPr>
      <w:t>SOUTHERN STATES CORRECTIONAL ASSOCIATION</w:t>
    </w:r>
  </w:p>
  <w:p w14:paraId="00332599" w14:textId="77777777" w:rsidR="009B4DAF" w:rsidRDefault="009B4DAF" w:rsidP="009B4DAF">
    <w:pPr>
      <w:pStyle w:val="Header"/>
      <w:jc w:val="center"/>
    </w:pPr>
  </w:p>
  <w:p w14:paraId="45360E03" w14:textId="77777777" w:rsidR="009B4DAF" w:rsidRDefault="009B4DAF" w:rsidP="009B4DAF">
    <w:pPr>
      <w:pStyle w:val="Header"/>
      <w:jc w:val="center"/>
    </w:pPr>
    <w:r>
      <w:t>Standard Operating Procedures</w:t>
    </w:r>
  </w:p>
  <w:p w14:paraId="45C4621B" w14:textId="77777777" w:rsidR="009B4DAF" w:rsidRDefault="009B4DAF" w:rsidP="009B4DAF">
    <w:pPr>
      <w:pStyle w:val="Header"/>
      <w:pBdr>
        <w:bottom w:val="thinThickSmallGap" w:sz="24" w:space="1" w:color="auto"/>
      </w:pBdr>
      <w:jc w:val="center"/>
    </w:pPr>
  </w:p>
  <w:p w14:paraId="19F485F2" w14:textId="77777777" w:rsidR="009B4DAF" w:rsidRDefault="009B4DAF">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A0A93" w14:textId="77777777" w:rsidR="0074037C" w:rsidRDefault="00740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BE0"/>
    <w:multiLevelType w:val="multilevel"/>
    <w:tmpl w:val="208A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84C40"/>
    <w:multiLevelType w:val="multilevel"/>
    <w:tmpl w:val="CE02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B06CA"/>
    <w:multiLevelType w:val="hybridMultilevel"/>
    <w:tmpl w:val="2E2EE4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11737"/>
    <w:multiLevelType w:val="multilevel"/>
    <w:tmpl w:val="B3E6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C66E5"/>
    <w:multiLevelType w:val="multilevel"/>
    <w:tmpl w:val="52D07EC0"/>
    <w:lvl w:ilvl="0">
      <w:start w:val="1"/>
      <w:numFmt w:val="low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06A4445"/>
    <w:multiLevelType w:val="hybridMultilevel"/>
    <w:tmpl w:val="1C08C486"/>
    <w:lvl w:ilvl="0" w:tplc="04E88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B61127"/>
    <w:multiLevelType w:val="hybridMultilevel"/>
    <w:tmpl w:val="38125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C58D5"/>
    <w:multiLevelType w:val="hybridMultilevel"/>
    <w:tmpl w:val="59162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60476"/>
    <w:multiLevelType w:val="multilevel"/>
    <w:tmpl w:val="A352FA4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66A15"/>
    <w:multiLevelType w:val="multilevel"/>
    <w:tmpl w:val="E156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65B5D"/>
    <w:multiLevelType w:val="hybridMultilevel"/>
    <w:tmpl w:val="A3E056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F05917"/>
    <w:multiLevelType w:val="multilevel"/>
    <w:tmpl w:val="113454F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524CCE"/>
    <w:multiLevelType w:val="hybridMultilevel"/>
    <w:tmpl w:val="5C049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D0F48"/>
    <w:multiLevelType w:val="hybridMultilevel"/>
    <w:tmpl w:val="F0B61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F5169"/>
    <w:multiLevelType w:val="hybridMultilevel"/>
    <w:tmpl w:val="A760B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057E9"/>
    <w:multiLevelType w:val="multilevel"/>
    <w:tmpl w:val="840C572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9E3491"/>
    <w:multiLevelType w:val="hybridMultilevel"/>
    <w:tmpl w:val="D7CC4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D2147"/>
    <w:multiLevelType w:val="multilevel"/>
    <w:tmpl w:val="AF887D6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747855"/>
    <w:multiLevelType w:val="hybridMultilevel"/>
    <w:tmpl w:val="2278D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452BAD"/>
    <w:multiLevelType w:val="hybridMultilevel"/>
    <w:tmpl w:val="BAC01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66BEB"/>
    <w:multiLevelType w:val="hybridMultilevel"/>
    <w:tmpl w:val="BE8E0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33886"/>
    <w:multiLevelType w:val="hybridMultilevel"/>
    <w:tmpl w:val="440AA9FA"/>
    <w:lvl w:ilvl="0" w:tplc="830E4F1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6955E2"/>
    <w:multiLevelType w:val="hybridMultilevel"/>
    <w:tmpl w:val="4BB0F474"/>
    <w:lvl w:ilvl="0" w:tplc="3D58C5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3252380"/>
    <w:multiLevelType w:val="multilevel"/>
    <w:tmpl w:val="5EEE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AF5AE1"/>
    <w:multiLevelType w:val="multilevel"/>
    <w:tmpl w:val="51A47F8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FA7AE3"/>
    <w:multiLevelType w:val="hybridMultilevel"/>
    <w:tmpl w:val="5C049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12"/>
  </w:num>
  <w:num w:numId="4">
    <w:abstractNumId w:val="19"/>
  </w:num>
  <w:num w:numId="5">
    <w:abstractNumId w:val="20"/>
  </w:num>
  <w:num w:numId="6">
    <w:abstractNumId w:val="16"/>
  </w:num>
  <w:num w:numId="7">
    <w:abstractNumId w:val="13"/>
  </w:num>
  <w:num w:numId="8">
    <w:abstractNumId w:val="14"/>
  </w:num>
  <w:num w:numId="9">
    <w:abstractNumId w:val="6"/>
  </w:num>
  <w:num w:numId="10">
    <w:abstractNumId w:val="18"/>
  </w:num>
  <w:num w:numId="11">
    <w:abstractNumId w:val="21"/>
  </w:num>
  <w:num w:numId="12">
    <w:abstractNumId w:val="1"/>
  </w:num>
  <w:num w:numId="13">
    <w:abstractNumId w:val="0"/>
  </w:num>
  <w:num w:numId="14">
    <w:abstractNumId w:val="9"/>
  </w:num>
  <w:num w:numId="15">
    <w:abstractNumId w:val="3"/>
  </w:num>
  <w:num w:numId="16">
    <w:abstractNumId w:val="23"/>
  </w:num>
  <w:num w:numId="17">
    <w:abstractNumId w:val="7"/>
  </w:num>
  <w:num w:numId="18">
    <w:abstractNumId w:val="24"/>
  </w:num>
  <w:num w:numId="19">
    <w:abstractNumId w:val="4"/>
  </w:num>
  <w:num w:numId="20">
    <w:abstractNumId w:val="15"/>
  </w:num>
  <w:num w:numId="21">
    <w:abstractNumId w:val="11"/>
  </w:num>
  <w:num w:numId="22">
    <w:abstractNumId w:val="8"/>
  </w:num>
  <w:num w:numId="23">
    <w:abstractNumId w:val="17"/>
  </w:num>
  <w:num w:numId="24">
    <w:abstractNumId w:val="10"/>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AF"/>
    <w:rsid w:val="00006BE7"/>
    <w:rsid w:val="00024D4C"/>
    <w:rsid w:val="00033449"/>
    <w:rsid w:val="000334D9"/>
    <w:rsid w:val="000928E7"/>
    <w:rsid w:val="000D709A"/>
    <w:rsid w:val="000F4992"/>
    <w:rsid w:val="001051FD"/>
    <w:rsid w:val="00174DF0"/>
    <w:rsid w:val="003254FE"/>
    <w:rsid w:val="00402827"/>
    <w:rsid w:val="00524BCA"/>
    <w:rsid w:val="00572E0D"/>
    <w:rsid w:val="00630F84"/>
    <w:rsid w:val="00681B69"/>
    <w:rsid w:val="0074037C"/>
    <w:rsid w:val="00745ABC"/>
    <w:rsid w:val="007725D3"/>
    <w:rsid w:val="00781EE1"/>
    <w:rsid w:val="007B7149"/>
    <w:rsid w:val="007E1F64"/>
    <w:rsid w:val="007E7FF0"/>
    <w:rsid w:val="0082176A"/>
    <w:rsid w:val="008415DC"/>
    <w:rsid w:val="008B37C8"/>
    <w:rsid w:val="008C122A"/>
    <w:rsid w:val="00903F31"/>
    <w:rsid w:val="00931919"/>
    <w:rsid w:val="00985867"/>
    <w:rsid w:val="0099586D"/>
    <w:rsid w:val="009B4DAF"/>
    <w:rsid w:val="00A05F09"/>
    <w:rsid w:val="00A43F69"/>
    <w:rsid w:val="00AB3AA0"/>
    <w:rsid w:val="00B06C99"/>
    <w:rsid w:val="00B37FE9"/>
    <w:rsid w:val="00BB44F3"/>
    <w:rsid w:val="00BF2188"/>
    <w:rsid w:val="00C46909"/>
    <w:rsid w:val="00C60735"/>
    <w:rsid w:val="00CC3254"/>
    <w:rsid w:val="00CD10BC"/>
    <w:rsid w:val="00D34084"/>
    <w:rsid w:val="00D92B34"/>
    <w:rsid w:val="00DA5BF2"/>
    <w:rsid w:val="00DF715E"/>
    <w:rsid w:val="00E04644"/>
    <w:rsid w:val="00F044B4"/>
    <w:rsid w:val="00FF052C"/>
    <w:rsid w:val="00FF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A4C4D"/>
  <w15:docId w15:val="{665BF1B9-1756-4A9D-B583-CA46369E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D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DAF"/>
    <w:pPr>
      <w:ind w:left="720"/>
    </w:pPr>
  </w:style>
  <w:style w:type="paragraph" w:styleId="Header">
    <w:name w:val="header"/>
    <w:basedOn w:val="Normal"/>
    <w:link w:val="HeaderChar"/>
    <w:uiPriority w:val="99"/>
    <w:unhideWhenUsed/>
    <w:rsid w:val="009B4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AF"/>
    <w:rPr>
      <w:rFonts w:ascii="Calibri" w:eastAsia="Calibri" w:hAnsi="Calibri" w:cs="Times New Roman"/>
    </w:rPr>
  </w:style>
  <w:style w:type="paragraph" w:styleId="Footer">
    <w:name w:val="footer"/>
    <w:basedOn w:val="Normal"/>
    <w:link w:val="FooterChar"/>
    <w:uiPriority w:val="99"/>
    <w:unhideWhenUsed/>
    <w:rsid w:val="009B4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AF"/>
    <w:rPr>
      <w:rFonts w:ascii="Calibri" w:eastAsia="Calibri" w:hAnsi="Calibri" w:cs="Times New Roman"/>
    </w:rPr>
  </w:style>
  <w:style w:type="paragraph" w:styleId="BalloonText">
    <w:name w:val="Balloon Text"/>
    <w:basedOn w:val="Normal"/>
    <w:link w:val="BalloonTextChar"/>
    <w:uiPriority w:val="99"/>
    <w:semiHidden/>
    <w:unhideWhenUsed/>
    <w:rsid w:val="009B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AF"/>
    <w:rPr>
      <w:rFonts w:ascii="Tahoma" w:eastAsia="Calibri" w:hAnsi="Tahoma" w:cs="Tahoma"/>
      <w:sz w:val="16"/>
      <w:szCs w:val="16"/>
    </w:rPr>
  </w:style>
  <w:style w:type="paragraph" w:styleId="NoSpacing">
    <w:name w:val="No Spacing"/>
    <w:uiPriority w:val="1"/>
    <w:qFormat/>
    <w:rsid w:val="00402827"/>
    <w:pPr>
      <w:spacing w:after="0" w:line="240" w:lineRule="auto"/>
    </w:pPr>
    <w:rPr>
      <w:rFonts w:ascii="Calibri" w:eastAsia="Calibri" w:hAnsi="Calibri" w:cs="Times New Roman"/>
    </w:rPr>
  </w:style>
  <w:style w:type="paragraph" w:customStyle="1" w:styleId="Default">
    <w:name w:val="Default"/>
    <w:rsid w:val="00006BE7"/>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Guffy</dc:creator>
  <cp:lastModifiedBy>Aston, Brandy (DOC)</cp:lastModifiedBy>
  <cp:revision>2</cp:revision>
  <cp:lastPrinted>2018-07-25T07:25:00Z</cp:lastPrinted>
  <dcterms:created xsi:type="dcterms:W3CDTF">2021-12-21T18:47:00Z</dcterms:created>
  <dcterms:modified xsi:type="dcterms:W3CDTF">2021-12-21T18:47:00Z</dcterms:modified>
</cp:coreProperties>
</file>